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98" w:rsidRPr="00EF29C6" w:rsidRDefault="00982F98" w:rsidP="00982F98">
      <w:pPr>
        <w:rPr>
          <w:b/>
          <w:u w:val="single"/>
        </w:rPr>
      </w:pPr>
      <w:r w:rsidRPr="00EF29C6">
        <w:rPr>
          <w:b/>
          <w:u w:val="single"/>
        </w:rPr>
        <w:t>Outils pour le cycle</w:t>
      </w:r>
      <w:r>
        <w:rPr>
          <w:b/>
          <w:u w:val="single"/>
        </w:rPr>
        <w:t xml:space="preserve"> 2 (CP et CE1)</w:t>
      </w:r>
    </w:p>
    <w:p w:rsidR="00982F98" w:rsidRDefault="00501624" w:rsidP="00982F98">
      <w:r>
        <w:t>Tableau</w:t>
      </w:r>
      <w:r w:rsidR="00982F98">
        <w:t xml:space="preserve"> de référence des unités de longueur, masse, contenance, monnaie (rapport direct au système décimal) et correspondances des unités de durée.</w:t>
      </w:r>
    </w:p>
    <w:p w:rsidR="00982F98" w:rsidRDefault="00982F98" w:rsidP="00982F9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349"/>
        <w:gridCol w:w="1350"/>
        <w:gridCol w:w="1350"/>
        <w:gridCol w:w="1349"/>
        <w:gridCol w:w="1350"/>
        <w:gridCol w:w="1350"/>
      </w:tblGrid>
      <w:tr w:rsidR="00762A9E" w:rsidRPr="00A068D4" w:rsidTr="00762A9E">
        <w:trPr>
          <w:trHeight w:val="454"/>
        </w:trPr>
        <w:tc>
          <w:tcPr>
            <w:tcW w:w="2358" w:type="dxa"/>
            <w:vMerge w:val="restart"/>
            <w:shd w:val="clear" w:color="auto" w:fill="auto"/>
          </w:tcPr>
          <w:p w:rsidR="00762A9E" w:rsidRPr="00A068D4" w:rsidRDefault="00762A9E" w:rsidP="00A3420E">
            <w:pPr>
              <w:spacing w:after="0" w:line="240" w:lineRule="auto"/>
            </w:pPr>
          </w:p>
        </w:tc>
        <w:tc>
          <w:tcPr>
            <w:tcW w:w="8098" w:type="dxa"/>
            <w:gridSpan w:val="6"/>
            <w:shd w:val="clear" w:color="auto" w:fill="92D050"/>
            <w:vAlign w:val="center"/>
          </w:tcPr>
          <w:p w:rsidR="00762A9E" w:rsidRPr="00950791" w:rsidRDefault="00762A9E" w:rsidP="00A3420E">
            <w:pPr>
              <w:spacing w:after="0" w:line="240" w:lineRule="auto"/>
              <w:jc w:val="center"/>
            </w:pPr>
            <w:r w:rsidRPr="00950791">
              <w:t>Nombres et unités de mesure</w:t>
            </w:r>
          </w:p>
        </w:tc>
      </w:tr>
      <w:tr w:rsidR="00762A9E" w:rsidRPr="00A068D4" w:rsidTr="00762A9E">
        <w:trPr>
          <w:trHeight w:val="826"/>
        </w:trPr>
        <w:tc>
          <w:tcPr>
            <w:tcW w:w="2358" w:type="dxa"/>
            <w:vMerge/>
            <w:shd w:val="clear" w:color="auto" w:fill="auto"/>
          </w:tcPr>
          <w:p w:rsidR="00762A9E" w:rsidRPr="00A068D4" w:rsidRDefault="00762A9E" w:rsidP="00A3420E">
            <w:pPr>
              <w:spacing w:after="0" w:line="240" w:lineRule="auto"/>
            </w:pPr>
          </w:p>
        </w:tc>
        <w:tc>
          <w:tcPr>
            <w:tcW w:w="1349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:rsidR="00762A9E" w:rsidRPr="00A068D4" w:rsidRDefault="00762A9E" w:rsidP="00A34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68D4">
              <w:rPr>
                <w:sz w:val="18"/>
                <w:szCs w:val="18"/>
              </w:rPr>
              <w:t>X 1000</w:t>
            </w:r>
          </w:p>
        </w:tc>
        <w:tc>
          <w:tcPr>
            <w:tcW w:w="1350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762A9E" w:rsidRPr="00A068D4" w:rsidRDefault="00762A9E" w:rsidP="00A34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68D4">
              <w:rPr>
                <w:sz w:val="18"/>
                <w:szCs w:val="18"/>
              </w:rPr>
              <w:t>X 100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62A9E" w:rsidRPr="00A068D4" w:rsidRDefault="00762A9E" w:rsidP="00A34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68D4">
              <w:rPr>
                <w:sz w:val="18"/>
                <w:szCs w:val="18"/>
              </w:rPr>
              <w:t>X 10</w:t>
            </w:r>
          </w:p>
        </w:tc>
        <w:tc>
          <w:tcPr>
            <w:tcW w:w="1349" w:type="dxa"/>
            <w:tcBorders>
              <w:right w:val="single" w:sz="12" w:space="0" w:color="FF0000"/>
            </w:tcBorders>
            <w:shd w:val="clear" w:color="auto" w:fill="FABF8F"/>
            <w:vAlign w:val="center"/>
          </w:tcPr>
          <w:p w:rsidR="00762A9E" w:rsidRPr="00A068D4" w:rsidRDefault="00762A9E" w:rsidP="00A34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762A9E" w:rsidRPr="00A068D4" w:rsidRDefault="00762A9E" w:rsidP="00A34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68D4">
              <w:rPr>
                <w:sz w:val="18"/>
                <w:szCs w:val="18"/>
              </w:rPr>
              <w:t>: 10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62A9E" w:rsidRPr="00A068D4" w:rsidRDefault="00762A9E" w:rsidP="00A3420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068D4">
              <w:rPr>
                <w:sz w:val="18"/>
                <w:szCs w:val="18"/>
              </w:rPr>
              <w:t>: 100</w:t>
            </w:r>
          </w:p>
        </w:tc>
      </w:tr>
      <w:tr w:rsidR="00762A9E" w:rsidRPr="00762A9E" w:rsidTr="00762A9E">
        <w:trPr>
          <w:trHeight w:val="398"/>
        </w:trPr>
        <w:tc>
          <w:tcPr>
            <w:tcW w:w="2358" w:type="dxa"/>
            <w:shd w:val="clear" w:color="auto" w:fill="auto"/>
            <w:vAlign w:val="center"/>
          </w:tcPr>
          <w:p w:rsidR="00762A9E" w:rsidRPr="00762A9E" w:rsidRDefault="00762A9E" w:rsidP="00A3420E">
            <w:pPr>
              <w:spacing w:after="0" w:line="240" w:lineRule="auto"/>
              <w:rPr>
                <w:sz w:val="24"/>
                <w:szCs w:val="24"/>
              </w:rPr>
            </w:pPr>
            <w:r w:rsidRPr="00762A9E">
              <w:rPr>
                <w:sz w:val="24"/>
                <w:szCs w:val="24"/>
              </w:rPr>
              <w:t>La numération</w:t>
            </w:r>
          </w:p>
        </w:tc>
        <w:tc>
          <w:tcPr>
            <w:tcW w:w="1349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:rsidR="00762A9E" w:rsidRPr="00762A9E" w:rsidRDefault="00762A9E" w:rsidP="00A34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2A9E">
              <w:rPr>
                <w:sz w:val="24"/>
                <w:szCs w:val="24"/>
              </w:rPr>
              <w:t>unités</w:t>
            </w:r>
          </w:p>
        </w:tc>
        <w:tc>
          <w:tcPr>
            <w:tcW w:w="1350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762A9E" w:rsidRPr="00762A9E" w:rsidRDefault="00762A9E" w:rsidP="00A34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2A9E">
              <w:rPr>
                <w:sz w:val="24"/>
                <w:szCs w:val="24"/>
              </w:rPr>
              <w:t>centaines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62A9E" w:rsidRPr="00762A9E" w:rsidRDefault="00762A9E" w:rsidP="00A34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2A9E">
              <w:rPr>
                <w:sz w:val="24"/>
                <w:szCs w:val="24"/>
              </w:rPr>
              <w:t>dizaines</w:t>
            </w:r>
          </w:p>
        </w:tc>
        <w:tc>
          <w:tcPr>
            <w:tcW w:w="1349" w:type="dxa"/>
            <w:tcBorders>
              <w:right w:val="single" w:sz="12" w:space="0" w:color="FF0000"/>
            </w:tcBorders>
            <w:shd w:val="clear" w:color="auto" w:fill="FABF8F"/>
            <w:vAlign w:val="center"/>
          </w:tcPr>
          <w:p w:rsidR="00762A9E" w:rsidRPr="00762A9E" w:rsidRDefault="00762A9E" w:rsidP="00A34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2A9E">
              <w:rPr>
                <w:sz w:val="24"/>
                <w:szCs w:val="24"/>
              </w:rPr>
              <w:t>unités</w:t>
            </w:r>
          </w:p>
        </w:tc>
        <w:tc>
          <w:tcPr>
            <w:tcW w:w="1350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762A9E" w:rsidRPr="00762A9E" w:rsidRDefault="00762A9E" w:rsidP="00A34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62A9E" w:rsidRPr="00762A9E" w:rsidRDefault="00762A9E" w:rsidP="00A34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2A9E" w:rsidRPr="00762A9E" w:rsidTr="00BD6450">
        <w:trPr>
          <w:trHeight w:val="398"/>
        </w:trPr>
        <w:tc>
          <w:tcPr>
            <w:tcW w:w="2358" w:type="dxa"/>
            <w:shd w:val="clear" w:color="auto" w:fill="C4BC96" w:themeFill="background2" w:themeFillShade="BF"/>
            <w:vAlign w:val="center"/>
          </w:tcPr>
          <w:p w:rsidR="00762A9E" w:rsidRPr="00762A9E" w:rsidRDefault="00762A9E" w:rsidP="00A3420E">
            <w:pPr>
              <w:spacing w:after="0" w:line="240" w:lineRule="auto"/>
              <w:rPr>
                <w:sz w:val="24"/>
                <w:szCs w:val="24"/>
              </w:rPr>
            </w:pPr>
            <w:r w:rsidRPr="00762A9E">
              <w:rPr>
                <w:sz w:val="24"/>
                <w:szCs w:val="24"/>
              </w:rPr>
              <w:t>Les préfixes</w:t>
            </w:r>
          </w:p>
        </w:tc>
        <w:tc>
          <w:tcPr>
            <w:tcW w:w="1349" w:type="dxa"/>
            <w:tcBorders>
              <w:right w:val="single" w:sz="12" w:space="0" w:color="FF0000"/>
            </w:tcBorders>
            <w:shd w:val="clear" w:color="auto" w:fill="C4BC96" w:themeFill="background2" w:themeFillShade="BF"/>
            <w:vAlign w:val="center"/>
          </w:tcPr>
          <w:p w:rsidR="00762A9E" w:rsidRPr="00762A9E" w:rsidRDefault="00762A9E" w:rsidP="00A34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2A9E">
              <w:rPr>
                <w:sz w:val="24"/>
                <w:szCs w:val="24"/>
              </w:rPr>
              <w:t>kilo</w:t>
            </w:r>
          </w:p>
        </w:tc>
        <w:tc>
          <w:tcPr>
            <w:tcW w:w="1350" w:type="dxa"/>
            <w:tcBorders>
              <w:left w:val="single" w:sz="12" w:space="0" w:color="FF0000"/>
            </w:tcBorders>
            <w:shd w:val="clear" w:color="auto" w:fill="C4BC96" w:themeFill="background2" w:themeFillShade="BF"/>
            <w:vAlign w:val="center"/>
          </w:tcPr>
          <w:p w:rsidR="00762A9E" w:rsidRPr="00762A9E" w:rsidRDefault="00762A9E" w:rsidP="00A34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4BC96" w:themeFill="background2" w:themeFillShade="BF"/>
            <w:vAlign w:val="center"/>
          </w:tcPr>
          <w:p w:rsidR="00762A9E" w:rsidRPr="00762A9E" w:rsidRDefault="00762A9E" w:rsidP="00A34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right w:val="single" w:sz="12" w:space="0" w:color="FF0000"/>
            </w:tcBorders>
            <w:shd w:val="clear" w:color="auto" w:fill="C4BC96" w:themeFill="background2" w:themeFillShade="BF"/>
            <w:vAlign w:val="center"/>
          </w:tcPr>
          <w:p w:rsidR="00762A9E" w:rsidRPr="00762A9E" w:rsidRDefault="00762A9E" w:rsidP="00A34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12" w:space="0" w:color="FF0000"/>
            </w:tcBorders>
            <w:shd w:val="clear" w:color="auto" w:fill="C4BC96" w:themeFill="background2" w:themeFillShade="BF"/>
            <w:vAlign w:val="center"/>
          </w:tcPr>
          <w:p w:rsidR="00762A9E" w:rsidRPr="00762A9E" w:rsidRDefault="00762A9E" w:rsidP="00A34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C4BC96" w:themeFill="background2" w:themeFillShade="BF"/>
            <w:vAlign w:val="center"/>
          </w:tcPr>
          <w:p w:rsidR="00762A9E" w:rsidRPr="00762A9E" w:rsidRDefault="00762A9E" w:rsidP="00A342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762A9E">
              <w:rPr>
                <w:sz w:val="24"/>
                <w:szCs w:val="24"/>
              </w:rPr>
              <w:t>Centi</w:t>
            </w:r>
            <w:proofErr w:type="spellEnd"/>
          </w:p>
        </w:tc>
      </w:tr>
      <w:tr w:rsidR="00762A9E" w:rsidRPr="00762A9E" w:rsidTr="00762A9E">
        <w:trPr>
          <w:trHeight w:val="398"/>
        </w:trPr>
        <w:tc>
          <w:tcPr>
            <w:tcW w:w="2358" w:type="dxa"/>
            <w:shd w:val="clear" w:color="auto" w:fill="auto"/>
            <w:vAlign w:val="center"/>
          </w:tcPr>
          <w:p w:rsidR="00762A9E" w:rsidRPr="00762A9E" w:rsidRDefault="00BD6450" w:rsidP="00A34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762A9E" w:rsidRPr="00762A9E">
              <w:rPr>
                <w:sz w:val="24"/>
                <w:szCs w:val="24"/>
              </w:rPr>
              <w:t>ongueurs</w:t>
            </w:r>
          </w:p>
        </w:tc>
        <w:tc>
          <w:tcPr>
            <w:tcW w:w="1349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:rsidR="00762A9E" w:rsidRPr="00BD6450" w:rsidRDefault="00762A9E" w:rsidP="00A3420E">
            <w:pPr>
              <w:spacing w:after="0" w:line="240" w:lineRule="auto"/>
              <w:jc w:val="center"/>
              <w:rPr>
                <w:rFonts w:ascii="Cursive standard" w:hAnsi="Cursive standard"/>
                <w:color w:val="365F91" w:themeColor="accent1" w:themeShade="BF"/>
                <w:sz w:val="44"/>
                <w:szCs w:val="44"/>
              </w:rPr>
            </w:pPr>
            <w:r w:rsidRPr="00BD6450">
              <w:rPr>
                <w:rFonts w:ascii="Cursive standard" w:hAnsi="Cursive standard"/>
                <w:color w:val="365F91" w:themeColor="accent1" w:themeShade="BF"/>
                <w:sz w:val="44"/>
                <w:szCs w:val="44"/>
                <w:highlight w:val="yellow"/>
              </w:rPr>
              <w:t>km</w:t>
            </w:r>
          </w:p>
        </w:tc>
        <w:tc>
          <w:tcPr>
            <w:tcW w:w="1350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762A9E" w:rsidRPr="00BD6450" w:rsidRDefault="00762A9E" w:rsidP="00A3420E">
            <w:pPr>
              <w:spacing w:after="0" w:line="240" w:lineRule="auto"/>
              <w:jc w:val="center"/>
              <w:rPr>
                <w:rFonts w:ascii="Cursive standard" w:hAnsi="Cursive standard"/>
                <w:color w:val="365F91" w:themeColor="accent1" w:themeShade="BF"/>
                <w:sz w:val="44"/>
                <w:szCs w:val="44"/>
                <w:highlight w:val="green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62A9E" w:rsidRPr="00BD6450" w:rsidRDefault="00762A9E" w:rsidP="00A3420E">
            <w:pPr>
              <w:spacing w:after="0" w:line="240" w:lineRule="auto"/>
              <w:jc w:val="center"/>
              <w:rPr>
                <w:rFonts w:ascii="Cursive standard" w:hAnsi="Cursive standard"/>
                <w:color w:val="365F91" w:themeColor="accent1" w:themeShade="BF"/>
                <w:sz w:val="44"/>
                <w:szCs w:val="44"/>
                <w:highlight w:val="green"/>
              </w:rPr>
            </w:pPr>
          </w:p>
        </w:tc>
        <w:tc>
          <w:tcPr>
            <w:tcW w:w="1349" w:type="dxa"/>
            <w:tcBorders>
              <w:right w:val="single" w:sz="12" w:space="0" w:color="FF0000"/>
            </w:tcBorders>
            <w:shd w:val="clear" w:color="auto" w:fill="FABF8F"/>
            <w:vAlign w:val="center"/>
          </w:tcPr>
          <w:p w:rsidR="00762A9E" w:rsidRPr="00BD6450" w:rsidRDefault="00762A9E" w:rsidP="00A3420E">
            <w:pPr>
              <w:spacing w:after="0" w:line="240" w:lineRule="auto"/>
              <w:jc w:val="center"/>
              <w:rPr>
                <w:rFonts w:ascii="Cursive standard" w:hAnsi="Cursive standard"/>
                <w:color w:val="365F91" w:themeColor="accent1" w:themeShade="BF"/>
                <w:sz w:val="44"/>
                <w:szCs w:val="44"/>
                <w:highlight w:val="yellow"/>
              </w:rPr>
            </w:pPr>
            <w:r w:rsidRPr="00BD6450">
              <w:rPr>
                <w:rFonts w:ascii="Cursive standard" w:hAnsi="Cursive standard"/>
                <w:color w:val="365F91" w:themeColor="accent1" w:themeShade="BF"/>
                <w:sz w:val="44"/>
                <w:szCs w:val="44"/>
                <w:highlight w:val="yellow"/>
              </w:rPr>
              <w:t>m</w:t>
            </w:r>
          </w:p>
        </w:tc>
        <w:tc>
          <w:tcPr>
            <w:tcW w:w="1350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762A9E" w:rsidRPr="00BD6450" w:rsidRDefault="00762A9E" w:rsidP="00A3420E">
            <w:pPr>
              <w:spacing w:after="0" w:line="240" w:lineRule="auto"/>
              <w:jc w:val="center"/>
              <w:rPr>
                <w:rFonts w:ascii="Cursive standard" w:hAnsi="Cursive standard"/>
                <w:color w:val="365F91" w:themeColor="accent1" w:themeShade="BF"/>
                <w:sz w:val="44"/>
                <w:szCs w:val="44"/>
                <w:highlight w:val="green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62A9E" w:rsidRPr="00BD6450" w:rsidRDefault="00762A9E" w:rsidP="00A3420E">
            <w:pPr>
              <w:spacing w:after="0" w:line="240" w:lineRule="auto"/>
              <w:jc w:val="center"/>
              <w:rPr>
                <w:rFonts w:ascii="Cursive standard" w:hAnsi="Cursive standard"/>
                <w:color w:val="365F91" w:themeColor="accent1" w:themeShade="BF"/>
                <w:sz w:val="44"/>
                <w:szCs w:val="44"/>
              </w:rPr>
            </w:pPr>
            <w:r w:rsidRPr="00BD6450">
              <w:rPr>
                <w:rFonts w:ascii="Cursive standard" w:hAnsi="Cursive standard"/>
                <w:color w:val="365F91" w:themeColor="accent1" w:themeShade="BF"/>
                <w:sz w:val="44"/>
                <w:szCs w:val="44"/>
                <w:highlight w:val="yellow"/>
              </w:rPr>
              <w:t>cm</w:t>
            </w:r>
          </w:p>
        </w:tc>
      </w:tr>
      <w:tr w:rsidR="00762A9E" w:rsidRPr="00762A9E" w:rsidTr="00762A9E">
        <w:trPr>
          <w:trHeight w:val="398"/>
        </w:trPr>
        <w:tc>
          <w:tcPr>
            <w:tcW w:w="2358" w:type="dxa"/>
            <w:shd w:val="clear" w:color="auto" w:fill="auto"/>
            <w:vAlign w:val="center"/>
          </w:tcPr>
          <w:p w:rsidR="00762A9E" w:rsidRPr="00762A9E" w:rsidRDefault="00BD6450" w:rsidP="00A34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762A9E" w:rsidRPr="00762A9E">
              <w:rPr>
                <w:sz w:val="24"/>
                <w:szCs w:val="24"/>
              </w:rPr>
              <w:t>asses</w:t>
            </w:r>
          </w:p>
        </w:tc>
        <w:tc>
          <w:tcPr>
            <w:tcW w:w="1349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:rsidR="00762A9E" w:rsidRPr="00BD6450" w:rsidRDefault="00762A9E" w:rsidP="00A3420E">
            <w:pPr>
              <w:spacing w:after="0" w:line="240" w:lineRule="auto"/>
              <w:jc w:val="center"/>
              <w:rPr>
                <w:rFonts w:ascii="Cursive standard" w:hAnsi="Cursive standard"/>
                <w:color w:val="365F91" w:themeColor="accent1" w:themeShade="BF"/>
                <w:sz w:val="44"/>
                <w:szCs w:val="44"/>
              </w:rPr>
            </w:pPr>
            <w:r w:rsidRPr="00BD6450">
              <w:rPr>
                <w:rFonts w:ascii="Cursive standard" w:hAnsi="Cursive standard"/>
                <w:color w:val="365F91" w:themeColor="accent1" w:themeShade="BF"/>
                <w:sz w:val="44"/>
                <w:szCs w:val="44"/>
                <w:highlight w:val="yellow"/>
              </w:rPr>
              <w:t>kg</w:t>
            </w:r>
          </w:p>
        </w:tc>
        <w:tc>
          <w:tcPr>
            <w:tcW w:w="1350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762A9E" w:rsidRPr="00BD6450" w:rsidRDefault="00762A9E" w:rsidP="00A3420E">
            <w:pPr>
              <w:spacing w:after="0" w:line="240" w:lineRule="auto"/>
              <w:jc w:val="center"/>
              <w:rPr>
                <w:rFonts w:ascii="Cursive standard" w:hAnsi="Cursive standard"/>
                <w:color w:val="365F91" w:themeColor="accent1" w:themeShade="BF"/>
                <w:sz w:val="44"/>
                <w:szCs w:val="44"/>
                <w:highlight w:val="green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62A9E" w:rsidRPr="00BD6450" w:rsidRDefault="00762A9E" w:rsidP="00A3420E">
            <w:pPr>
              <w:spacing w:after="0" w:line="240" w:lineRule="auto"/>
              <w:jc w:val="center"/>
              <w:rPr>
                <w:rFonts w:ascii="Cursive standard" w:hAnsi="Cursive standard"/>
                <w:color w:val="365F91" w:themeColor="accent1" w:themeShade="BF"/>
                <w:sz w:val="44"/>
                <w:szCs w:val="44"/>
                <w:highlight w:val="green"/>
              </w:rPr>
            </w:pPr>
          </w:p>
        </w:tc>
        <w:tc>
          <w:tcPr>
            <w:tcW w:w="1349" w:type="dxa"/>
            <w:tcBorders>
              <w:right w:val="single" w:sz="12" w:space="0" w:color="FF0000"/>
            </w:tcBorders>
            <w:shd w:val="clear" w:color="auto" w:fill="FABF8F"/>
            <w:vAlign w:val="center"/>
          </w:tcPr>
          <w:p w:rsidR="00762A9E" w:rsidRPr="00BD6450" w:rsidRDefault="00762A9E" w:rsidP="00A3420E">
            <w:pPr>
              <w:spacing w:after="0" w:line="240" w:lineRule="auto"/>
              <w:jc w:val="center"/>
              <w:rPr>
                <w:rFonts w:ascii="Cursive standard" w:hAnsi="Cursive standard"/>
                <w:color w:val="365F91" w:themeColor="accent1" w:themeShade="BF"/>
                <w:sz w:val="44"/>
                <w:szCs w:val="44"/>
                <w:highlight w:val="yellow"/>
              </w:rPr>
            </w:pPr>
            <w:r w:rsidRPr="00BD6450">
              <w:rPr>
                <w:rFonts w:ascii="Cursive standard" w:hAnsi="Cursive standard"/>
                <w:color w:val="365F91" w:themeColor="accent1" w:themeShade="BF"/>
                <w:sz w:val="44"/>
                <w:szCs w:val="44"/>
                <w:highlight w:val="yellow"/>
              </w:rPr>
              <w:t>g</w:t>
            </w:r>
          </w:p>
        </w:tc>
        <w:tc>
          <w:tcPr>
            <w:tcW w:w="1350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762A9E" w:rsidRPr="00BD6450" w:rsidRDefault="00762A9E" w:rsidP="00A3420E">
            <w:pPr>
              <w:spacing w:after="0" w:line="240" w:lineRule="auto"/>
              <w:jc w:val="center"/>
              <w:rPr>
                <w:rFonts w:ascii="Cursive standard" w:hAnsi="Cursive standard"/>
                <w:color w:val="365F91" w:themeColor="accent1" w:themeShade="BF"/>
                <w:sz w:val="44"/>
                <w:szCs w:val="44"/>
                <w:highlight w:val="green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62A9E" w:rsidRPr="00BD6450" w:rsidRDefault="00762A9E" w:rsidP="00A3420E">
            <w:pPr>
              <w:spacing w:after="0" w:line="240" w:lineRule="auto"/>
              <w:jc w:val="center"/>
              <w:rPr>
                <w:rFonts w:ascii="Cursive standard" w:hAnsi="Cursive standard"/>
                <w:color w:val="365F91" w:themeColor="accent1" w:themeShade="BF"/>
                <w:sz w:val="44"/>
                <w:szCs w:val="44"/>
              </w:rPr>
            </w:pPr>
          </w:p>
        </w:tc>
      </w:tr>
      <w:tr w:rsidR="00762A9E" w:rsidRPr="00762A9E" w:rsidTr="00762A9E">
        <w:trPr>
          <w:trHeight w:val="398"/>
        </w:trPr>
        <w:tc>
          <w:tcPr>
            <w:tcW w:w="2358" w:type="dxa"/>
            <w:shd w:val="clear" w:color="auto" w:fill="auto"/>
            <w:vAlign w:val="center"/>
          </w:tcPr>
          <w:p w:rsidR="00762A9E" w:rsidRPr="00762A9E" w:rsidRDefault="00BD6450" w:rsidP="00A34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762A9E" w:rsidRPr="00762A9E">
              <w:rPr>
                <w:sz w:val="24"/>
                <w:szCs w:val="24"/>
              </w:rPr>
              <w:t>ontenances</w:t>
            </w:r>
          </w:p>
        </w:tc>
        <w:tc>
          <w:tcPr>
            <w:tcW w:w="1349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:rsidR="00762A9E" w:rsidRPr="00BD6450" w:rsidRDefault="00762A9E" w:rsidP="00A3420E">
            <w:pPr>
              <w:spacing w:after="0" w:line="240" w:lineRule="auto"/>
              <w:jc w:val="center"/>
              <w:rPr>
                <w:rFonts w:ascii="Cursive standard" w:hAnsi="Cursive standard"/>
                <w:color w:val="365F91" w:themeColor="accent1" w:themeShade="BF"/>
                <w:sz w:val="44"/>
                <w:szCs w:val="44"/>
              </w:rPr>
            </w:pPr>
          </w:p>
        </w:tc>
        <w:tc>
          <w:tcPr>
            <w:tcW w:w="1350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762A9E" w:rsidRPr="00BD6450" w:rsidRDefault="00762A9E" w:rsidP="00A3420E">
            <w:pPr>
              <w:spacing w:after="0" w:line="240" w:lineRule="auto"/>
              <w:jc w:val="center"/>
              <w:rPr>
                <w:rFonts w:ascii="Cursive standard" w:hAnsi="Cursive standard"/>
                <w:color w:val="365F91" w:themeColor="accent1" w:themeShade="BF"/>
                <w:sz w:val="44"/>
                <w:szCs w:val="44"/>
                <w:highlight w:val="green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62A9E" w:rsidRPr="00BD6450" w:rsidRDefault="00762A9E" w:rsidP="00A3420E">
            <w:pPr>
              <w:spacing w:after="0" w:line="240" w:lineRule="auto"/>
              <w:jc w:val="center"/>
              <w:rPr>
                <w:rFonts w:ascii="Cursive standard" w:hAnsi="Cursive standard"/>
                <w:color w:val="365F91" w:themeColor="accent1" w:themeShade="BF"/>
                <w:sz w:val="44"/>
                <w:szCs w:val="44"/>
                <w:highlight w:val="green"/>
              </w:rPr>
            </w:pPr>
          </w:p>
        </w:tc>
        <w:tc>
          <w:tcPr>
            <w:tcW w:w="1349" w:type="dxa"/>
            <w:tcBorders>
              <w:right w:val="single" w:sz="12" w:space="0" w:color="FF0000"/>
            </w:tcBorders>
            <w:shd w:val="clear" w:color="auto" w:fill="FABF8F"/>
            <w:vAlign w:val="center"/>
          </w:tcPr>
          <w:p w:rsidR="00762A9E" w:rsidRPr="00BD6450" w:rsidRDefault="00762A9E" w:rsidP="00A3420E">
            <w:pPr>
              <w:spacing w:after="0" w:line="240" w:lineRule="auto"/>
              <w:jc w:val="center"/>
              <w:rPr>
                <w:rFonts w:ascii="Cursive standard" w:hAnsi="Cursive standard"/>
                <w:color w:val="365F91" w:themeColor="accent1" w:themeShade="BF"/>
                <w:sz w:val="44"/>
                <w:szCs w:val="44"/>
                <w:highlight w:val="yellow"/>
              </w:rPr>
            </w:pPr>
            <w:r w:rsidRPr="00BD6450">
              <w:rPr>
                <w:rFonts w:ascii="Cursive standard" w:hAnsi="Cursive standard"/>
                <w:color w:val="365F91" w:themeColor="accent1" w:themeShade="BF"/>
                <w:sz w:val="44"/>
                <w:szCs w:val="44"/>
                <w:highlight w:val="yellow"/>
              </w:rPr>
              <w:t>l</w:t>
            </w:r>
          </w:p>
        </w:tc>
        <w:tc>
          <w:tcPr>
            <w:tcW w:w="1350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762A9E" w:rsidRPr="00BD6450" w:rsidRDefault="00762A9E" w:rsidP="00A3420E">
            <w:pPr>
              <w:spacing w:after="0" w:line="240" w:lineRule="auto"/>
              <w:jc w:val="center"/>
              <w:rPr>
                <w:rFonts w:ascii="Cursive standard" w:hAnsi="Cursive standard"/>
                <w:color w:val="365F91" w:themeColor="accent1" w:themeShade="BF"/>
                <w:sz w:val="44"/>
                <w:szCs w:val="44"/>
                <w:highlight w:val="green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62A9E" w:rsidRPr="00BD6450" w:rsidRDefault="00762A9E" w:rsidP="00A3420E">
            <w:pPr>
              <w:spacing w:after="0" w:line="240" w:lineRule="auto"/>
              <w:jc w:val="center"/>
              <w:rPr>
                <w:rFonts w:ascii="Cursive standard" w:hAnsi="Cursive standard"/>
                <w:color w:val="365F91" w:themeColor="accent1" w:themeShade="BF"/>
                <w:sz w:val="44"/>
                <w:szCs w:val="44"/>
              </w:rPr>
            </w:pPr>
          </w:p>
        </w:tc>
      </w:tr>
      <w:tr w:rsidR="00762A9E" w:rsidRPr="00762A9E" w:rsidTr="00762A9E">
        <w:trPr>
          <w:trHeight w:val="398"/>
        </w:trPr>
        <w:tc>
          <w:tcPr>
            <w:tcW w:w="2358" w:type="dxa"/>
            <w:shd w:val="clear" w:color="auto" w:fill="auto"/>
            <w:vAlign w:val="center"/>
          </w:tcPr>
          <w:p w:rsidR="00762A9E" w:rsidRPr="00762A9E" w:rsidRDefault="00762A9E" w:rsidP="00A342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Monnaie</w:t>
            </w:r>
          </w:p>
        </w:tc>
        <w:tc>
          <w:tcPr>
            <w:tcW w:w="1349" w:type="dxa"/>
            <w:tcBorders>
              <w:right w:val="single" w:sz="12" w:space="0" w:color="FF0000"/>
            </w:tcBorders>
            <w:shd w:val="clear" w:color="auto" w:fill="auto"/>
            <w:vAlign w:val="center"/>
          </w:tcPr>
          <w:p w:rsidR="00762A9E" w:rsidRPr="00BD6450" w:rsidRDefault="00762A9E" w:rsidP="00A3420E">
            <w:pPr>
              <w:spacing w:after="0" w:line="240" w:lineRule="auto"/>
              <w:jc w:val="center"/>
              <w:rPr>
                <w:rFonts w:ascii="Cursive standard" w:hAnsi="Cursive standard"/>
                <w:color w:val="365F91" w:themeColor="accent1" w:themeShade="BF"/>
                <w:sz w:val="44"/>
                <w:szCs w:val="44"/>
              </w:rPr>
            </w:pPr>
          </w:p>
        </w:tc>
        <w:tc>
          <w:tcPr>
            <w:tcW w:w="1350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762A9E" w:rsidRPr="00BD6450" w:rsidRDefault="00762A9E" w:rsidP="00A3420E">
            <w:pPr>
              <w:spacing w:after="0" w:line="240" w:lineRule="auto"/>
              <w:jc w:val="center"/>
              <w:rPr>
                <w:rFonts w:ascii="Cursive standard" w:hAnsi="Cursive standard"/>
                <w:color w:val="365F91" w:themeColor="accent1" w:themeShade="BF"/>
                <w:sz w:val="44"/>
                <w:szCs w:val="44"/>
                <w:highlight w:val="green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62A9E" w:rsidRPr="00BD6450" w:rsidRDefault="00762A9E" w:rsidP="00A3420E">
            <w:pPr>
              <w:spacing w:after="0" w:line="240" w:lineRule="auto"/>
              <w:jc w:val="center"/>
              <w:rPr>
                <w:rFonts w:ascii="Cursive standard" w:hAnsi="Cursive standard"/>
                <w:color w:val="365F91" w:themeColor="accent1" w:themeShade="BF"/>
                <w:sz w:val="44"/>
                <w:szCs w:val="44"/>
                <w:highlight w:val="green"/>
              </w:rPr>
            </w:pPr>
          </w:p>
        </w:tc>
        <w:tc>
          <w:tcPr>
            <w:tcW w:w="1349" w:type="dxa"/>
            <w:tcBorders>
              <w:right w:val="single" w:sz="12" w:space="0" w:color="FF0000"/>
            </w:tcBorders>
            <w:shd w:val="clear" w:color="auto" w:fill="FABF8F"/>
            <w:vAlign w:val="center"/>
          </w:tcPr>
          <w:p w:rsidR="00762A9E" w:rsidRPr="00BD6450" w:rsidRDefault="00762A9E" w:rsidP="00A3420E">
            <w:pPr>
              <w:spacing w:after="0" w:line="240" w:lineRule="auto"/>
              <w:jc w:val="center"/>
              <w:rPr>
                <w:rFonts w:ascii="Cursive standard" w:hAnsi="Cursive standard"/>
                <w:color w:val="365F91" w:themeColor="accent1" w:themeShade="BF"/>
                <w:sz w:val="44"/>
                <w:szCs w:val="44"/>
                <w:highlight w:val="yellow"/>
              </w:rPr>
            </w:pPr>
            <w:r w:rsidRPr="00BD6450">
              <w:rPr>
                <w:rFonts w:ascii="Cursive standard" w:hAnsi="Cursive standard"/>
                <w:color w:val="365F91" w:themeColor="accent1" w:themeShade="BF"/>
                <w:sz w:val="44"/>
                <w:szCs w:val="44"/>
                <w:highlight w:val="yellow"/>
              </w:rPr>
              <w:t>€</w:t>
            </w:r>
          </w:p>
        </w:tc>
        <w:tc>
          <w:tcPr>
            <w:tcW w:w="1350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762A9E" w:rsidRPr="00BD6450" w:rsidRDefault="00762A9E" w:rsidP="00A3420E">
            <w:pPr>
              <w:spacing w:after="0" w:line="240" w:lineRule="auto"/>
              <w:jc w:val="center"/>
              <w:rPr>
                <w:rFonts w:ascii="Cursive standard" w:hAnsi="Cursive standard"/>
                <w:color w:val="365F91" w:themeColor="accent1" w:themeShade="BF"/>
                <w:sz w:val="44"/>
                <w:szCs w:val="44"/>
                <w:highlight w:val="green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762A9E" w:rsidRPr="00BD6450" w:rsidRDefault="00762A9E" w:rsidP="00A3420E">
            <w:pPr>
              <w:spacing w:after="0" w:line="240" w:lineRule="auto"/>
              <w:jc w:val="center"/>
              <w:rPr>
                <w:rFonts w:ascii="Cursive standard" w:hAnsi="Cursive standard"/>
                <w:color w:val="365F91" w:themeColor="accent1" w:themeShade="BF"/>
                <w:sz w:val="44"/>
                <w:szCs w:val="44"/>
              </w:rPr>
            </w:pPr>
            <w:r w:rsidRPr="00BD6450">
              <w:rPr>
                <w:rFonts w:ascii="Cursive standard" w:hAnsi="Cursive standard"/>
                <w:color w:val="365F91" w:themeColor="accent1" w:themeShade="BF"/>
                <w:sz w:val="44"/>
                <w:szCs w:val="44"/>
                <w:highlight w:val="yellow"/>
              </w:rPr>
              <w:t>Cent d’€</w:t>
            </w:r>
          </w:p>
        </w:tc>
      </w:tr>
    </w:tbl>
    <w:p w:rsidR="00210F55" w:rsidRDefault="00210F55"/>
    <w:p w:rsidR="00762A9E" w:rsidRDefault="00762A9E">
      <w:r>
        <w:t xml:space="preserve">+ </w:t>
      </w:r>
      <w:r w:rsidR="00501624">
        <w:t>Unités</w:t>
      </w:r>
      <w:r>
        <w:t xml:space="preserve"> usuelles de temps (Heure et demi-heure)</w:t>
      </w:r>
      <w:r w:rsidR="00501624">
        <w:t xml:space="preserve"> à travailler en utilisant des horloges à aiguilles (lecture de l’heure)</w:t>
      </w:r>
      <w:bookmarkStart w:id="0" w:name="_GoBack"/>
      <w:bookmarkEnd w:id="0"/>
    </w:p>
    <w:p w:rsidR="00501624" w:rsidRPr="00501624" w:rsidRDefault="00501624" w:rsidP="00501624">
      <w:pPr>
        <w:pStyle w:val="Paragraphedeliste"/>
        <w:numPr>
          <w:ilvl w:val="0"/>
          <w:numId w:val="1"/>
        </w:numPr>
        <w:rPr>
          <w:b/>
        </w:rPr>
      </w:pPr>
      <w:r w:rsidRPr="00501624">
        <w:rPr>
          <w:b/>
        </w:rPr>
        <w:t>½ heure = 30 min</w:t>
      </w:r>
    </w:p>
    <w:p w:rsidR="00ED43AB" w:rsidRPr="00501624" w:rsidRDefault="00501624" w:rsidP="00501624">
      <w:pPr>
        <w:pStyle w:val="Paragraphedeliste"/>
        <w:numPr>
          <w:ilvl w:val="0"/>
          <w:numId w:val="1"/>
        </w:numPr>
        <w:rPr>
          <w:b/>
        </w:rPr>
      </w:pPr>
      <w:r w:rsidRPr="00501624">
        <w:rPr>
          <w:b/>
        </w:rPr>
        <w:t>1h00 = 2 demi-heures = 60 min</w:t>
      </w:r>
    </w:p>
    <w:sectPr w:rsidR="00ED43AB" w:rsidRPr="00501624" w:rsidSect="00982F98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5629D"/>
    <w:multiLevelType w:val="hybridMultilevel"/>
    <w:tmpl w:val="C420A1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F98"/>
    <w:rsid w:val="00210F55"/>
    <w:rsid w:val="00501624"/>
    <w:rsid w:val="00762A9E"/>
    <w:rsid w:val="0085224C"/>
    <w:rsid w:val="00950791"/>
    <w:rsid w:val="00982F98"/>
    <w:rsid w:val="00BD6450"/>
    <w:rsid w:val="00CA6FA1"/>
    <w:rsid w:val="00DC4B43"/>
    <w:rsid w:val="00ED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 Nat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VOT Jacques</dc:creator>
  <cp:keywords/>
  <dc:description/>
  <cp:lastModifiedBy>LE VOT Jacques</cp:lastModifiedBy>
  <cp:revision>4</cp:revision>
  <cp:lastPrinted>2014-02-18T10:31:00Z</cp:lastPrinted>
  <dcterms:created xsi:type="dcterms:W3CDTF">2014-02-18T09:58:00Z</dcterms:created>
  <dcterms:modified xsi:type="dcterms:W3CDTF">2014-03-25T13:33:00Z</dcterms:modified>
</cp:coreProperties>
</file>